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447675" cy="608965"/>
            <wp:effectExtent b="0" l="0" r="0" t="0"/>
            <wp:docPr id="102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896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w:t>
      </w:r>
      <w:r w:rsidDel="00000000" w:rsidR="00000000" w:rsidRPr="00000000">
        <w:rPr>
          <w:b w:val="1"/>
          <w:sz w:val="28"/>
          <w:szCs w:val="28"/>
          <w:rtl w:val="0"/>
        </w:rPr>
        <w:t xml:space="preserve">26 вересня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2023 року                   м. Сквира                             №</w:t>
      </w:r>
      <w:r w:rsidDel="00000000" w:rsidR="00000000" w:rsidRPr="00000000">
        <w:rPr>
          <w:b w:val="1"/>
          <w:sz w:val="28"/>
          <w:szCs w:val="28"/>
          <w:rtl w:val="0"/>
        </w:rPr>
        <w:t xml:space="preserve">16-39-VІІІ</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535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3"/>
        <w:tblGridChange w:id="0">
          <w:tblGrid>
            <w:gridCol w:w="5353"/>
          </w:tblGrid>
        </w:tblGridChange>
      </w:tblGrid>
      <w:tr>
        <w:trPr>
          <w:cantSplit w:val="0"/>
          <w:trHeight w:val="884"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підготовку комунальних закладів, установ та підприємств до роботи в осінньо-зимовий період 2023-2024 років</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tab/>
        <w:t xml:space="preserve">Заслухавши та обговоривши інформацію «Про підготовку комунальних закладів, установ та підприємств до роботи в осінньо-зимовий період 2023-2024 років</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відповідно до ст. 26 Закону України «Про місцеве самоврядування в Україні»,</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r w:rsidDel="00000000" w:rsidR="00000000" w:rsidRPr="00000000">
        <w:rPr>
          <w:sz w:val="28"/>
          <w:szCs w:val="28"/>
          <w:highlight w:val="white"/>
          <w:rtl w:val="0"/>
        </w:rPr>
        <w:t xml:space="preserve">з</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аконів України «Про житлово-комунальні послуги», «Про теплопостачання», «Про питну воду, питне водопостачання та водовідведення», з метою виконання заходів</w:t>
      </w:r>
      <w:r w:rsidDel="00000000" w:rsidR="00000000" w:rsidRPr="00000000">
        <w:rPr>
          <w:rFonts w:ascii="Times New Roman" w:cs="Times New Roman" w:eastAsia="Times New Roman" w:hAnsi="Times New Roman"/>
          <w:b w:val="0"/>
          <w:i w:val="0"/>
          <w:smallCaps w:val="0"/>
          <w:strike w:val="0"/>
          <w:color w:val="202020"/>
          <w:sz w:val="28"/>
          <w:szCs w:val="28"/>
          <w:highlight w:val="white"/>
          <w:u w:val="none"/>
          <w:vertAlign w:val="baseline"/>
          <w:rtl w:val="0"/>
        </w:rPr>
        <w:t xml:space="preserve"> з підготовки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підприємств житлово-комунального господарства та об’єктів соціально-культурного призначення Сквирської міської територіальної громади до роботи в осінньо-зимовий період 2023/2024 року, затверджених рішенням виконавчого комітету  від 06.06.2023 №1/16, забезпечення стабільної роботи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комунальних закладів, установ та підприємств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 осінньо-зимовий період 2023/2024 року,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враховуючи пропозиції постійних комісій міської ради,  Сквирська міська рада VIII скликання</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665"/>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Взяти до відома інформацію «Про підготовку комунальних закладів, установ та підприємств до роботи в осінньо-зимовий період 2023-2024 років</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(додається).</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66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Керівникам комунальних закладів, установ та підприємств забезпечити безумовне виконання заходів з підготовки до роботи в осінньо-зимовий період 2023-2024 років.</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6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3. Покласти персональну відповідальність на керівників закладів, установ та підприємств за своєчасний початок та стале проходження опалювального періоду, безперебійну подачу теплоносіїв до об’єктів соціальної сфери, в бюджетні установи та організації.</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665"/>
        <w:jc w:val="both"/>
        <w:rPr>
          <w:rFonts w:ascii="Times New Roman" w:cs="Times New Roman" w:eastAsia="Times New Roman" w:hAnsi="Times New Roman"/>
          <w:b w:val="0"/>
          <w:i w:val="0"/>
          <w:smallCaps w:val="0"/>
          <w:strike w:val="0"/>
          <w:color w:val="000000"/>
          <w:sz w:val="17"/>
          <w:szCs w:val="1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В.о. директора комунального підприємства «Сквираблагоустрій» Шутенку С.О. організувати та забезпечити своєчасне виконання робіт з утримання вулично-дорожньої мережі в осінньо-зимовий період 2023-2024 років.</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efefe"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Контроль за виконанням цього рішення покласти на постійну комісію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6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521"/>
        <w:jc w:val="left"/>
        <w:rPr>
          <w:b w:val="1"/>
          <w:sz w:val="24"/>
          <w:szCs w:val="24"/>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521"/>
        <w:jc w:val="left"/>
        <w:rPr>
          <w:b w:val="1"/>
          <w:sz w:val="24"/>
          <w:szCs w:val="24"/>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52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52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сесії</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52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Сквирської  міської ради</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52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w:t>
      </w:r>
      <w:r w:rsidDel="00000000" w:rsidR="00000000" w:rsidRPr="00000000">
        <w:rPr>
          <w:b w:val="1"/>
          <w:sz w:val="24"/>
          <w:szCs w:val="24"/>
          <w:rtl w:val="0"/>
        </w:rPr>
        <w:t xml:space="preserve">26 вересня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16-39 -VIII</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52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0" w:right="0" w:hanging="567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Інформація</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підготовку комунальних закладів, установ та підприємств </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 роботи в осінньо-зимовий період 2023-2024 років</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Відділ освіти Сквирської міської ради</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Триває підготовка закладів освіти до опалювального сезону. На балансі відділу освіти перебуває 14 власних газових котелень, 4 власні котельні, які опалюються дровами, 5 котелень на альтернативних видах палива, що перебувають  у оренді ТОВ «Енергобюджет» та 7 котелень на альтернативних видах палива, що перебувають у оренді ТОВ «КП Теплоенергія».  ТОВ «Енергобюджет» та ТОВ «КП Теплоенергія» за умовами договорів постачання теплової енергії проводять підготовку котелень до роботи в осінньо-зимовий період 2023-2024 року та до 01 жовтня 2023 року зобов’язані надати у відділ освіти акти готовності теплового господарства до роботи в опалювальний період 2023-2024 року, видані Управлінням Держенергонагляду у Київській області. Власні котельні на дровах забезпечені дровами для опалення закладів освіти на період жовтень-грудень 2023 року.</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Відділ освіти уклав договір на повірку засобів вимірювальної техніки (лічильники та коректори) (лист АТ «Київоблгаз» від 17.05.2023 №810-Сп-13305-0523) у Антонівському НВК, Сквирському ЦДЮТ, Сквирському ЗДО №2 «Малятко». Засоби вимірювальної техніки Антонівського НВК та Сквирського ЗДО №2 пройшли повірку та будуть встановлені в котельнях закладів після проведення реорганізації у АТ «Київоблгаз», оскільки  необхідна присутність представників цієї служби - метрологів. Лічильник Сквирського ЦДЮТ повірку не пройшов, відправлено на завод-виробник для проведення ремонту. Для оплати послуг з ремонту та встановлення лічильника необхідно виділення на черговій сесії додаткових коштів у сумі 25000,00 грн.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Необхідно отримати технічні умови та розробити проєктну документацію на реконструкцію IMOD у котельні Антонівського НВК (лист відділу освіти № 420 від 28.06.2023 р., орієнтована вартість 40000, 00 грн.), отримати технічні умови та розробити проєктну документацію на реконструкцію системи газопостачання Самгородоцького НВК (лист відділу освіти № 485 від 21.07.2023р., орієнтовна вартість- 50000,00 грн.), провести реконструкцію систем газопостачання у котельнях Сквирського ЦДЮТ, Сквирського ЗДО №2, Буківського НВК (лист № 419 від 28.06.2023 р., орієнтовна вартість кожного об’єкта - 500 000,00 грн.) до березня 2024 року.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Укладено договір з надання послуг із замірів опору ізоляції у будівлях і котельнях закладів освіти. Станом на 11.09.2023 послуга надана в повному обсязі.</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Укладено договір з надання послуг з передпускової підготовки газових приладів до опалювального сезону. Станом на 11.09.2023 відповідно до умов договору послуги надано на 80%.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Укладено договір з надання послуг з перевірки димовентиляційних каналів закладів освіти. Станом на 11.09.2023 послуга надана в повному обсязі.</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Укладено договір на закупівлю циркуляційних насосів для котелень закладів та установ освіти на суму 175000 грн. Встановлення циркуляційних насосів у котельнях установ та закладів освіти заплановано до 01.10.2023.</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придбання газового котла для Сквирського академічного ліцею №3 необхідно виділення на черговій сесії Сквирської міської ради додаткових коштів у сумі 50000,00 грн.</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28.08.2023 були оголошені відкриті торги на закупівлю природного газу на період жовтень-грудень 2023 року. 05.09.2023 торги було відмінено через відсутність учасників процедури закупівлі. Договір на закупівлю природного газу буде укладено з ТОВ «Газопостачальна компанія «Нафтогаз Трейдинг» після внесення змін або переукладання договору на розподіл природного газу у зв’язку з реорганізацією АТ «Київоблгаз».</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Відділ культури, молоді і спорту Сквирської міської ради </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відділі культури, молоді і спорту на балансі перебуває дві котельні: котельня дитячої школи мистецтв, яка обслуговує дитячу школу мистецтв, та теплогенераторна міського будинку культури, яка обслуговує міський будинок культури, центральну міську та дитячу бібліотеки, а також міський народний краєзнавчий музей.</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 час опалювального сезону на обох котельнях проводиться технічне обслуговування спеціалізованими підприємствами, які мають відповідні дозволи на провадження такої діяльності.</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Котельня дитячої школи мистецтв перебуває у задовільному стані. У минулому опалювальному сезоні усі компоненти працювали справно. Теплогенераторна міського будинку культури також перебуває у задовільному стані. Газове обладнання працює справно, технічне обслуговування проводиться вчасно.</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 час опалювального сезону в обох котельнях проводиться технічне обслуговування спеціалізованими підприємствами, які мають відповідні дозволи на провадження такої діяльності.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теплогенераторну будинку культури в поточному році було придбано та встановлено новий (другий) котел. Проведено хімічне очищення теплообмінників у котлі, який був придбаний у 2021 році. На 37 сесії  відділу були виділені додаткові кошти на заходи з підготовки до осінньо-зимового періоду.  В зв’язку з тим, що згідно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помісячного розпису асигнувань використати кошти можна було лише в жовтні, листопаді, було проведено перепланування кошторисних призначень. Знято на повіорку газосигнелізатор «Лелека», коректор газу та лічильник. Проведено очищення насосів, димоходу котла, монтаж фільтрів, перевірку заземлення, ремонт системи опалення, технічне обслуговування та перезарядку вогнегасників. Проведено навчання оператора котельні, відповідальних за пожежну безпеку та електрика. Потрібно ще провести монтування захисного навісу над ВОГ та ГРП, для цього проведено перепланування коштів.</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котельні дитячої школи мистецтв проведено повірку манометрів та газосигналізатора, проведено перевірку кратності повітрообміну, димових каналів, електромагнітного клапану безпеки, газосигналізатора, заміру опору ізоляції тощо,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технічне обслуговування та перезарядку вогнегасників. Проведено перевірку наявності кіл між заземлювачами і елементами, що заземлюються, значення повного опору петлі «фаза-нуль», заміри опору ізоляії, перевірку системи блискавкозахисту, вимірювання опору заземлюючих пристоїв.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оведено навчання оператора та відповідального за газове господарство. Для центральної бібліотеки птрібно придбати вогнегасники та замінити лічильник води.</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Комунальне некомерційне підприємство Сквирської міської ради «Сквирська центральна міська лікарня»</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Котельня Сквирської центральної міської лікарні передана в оренду теплопостачальній організації ТОВ «Теплобуд 2014», тому всі технічні роботи по підготовці котельні до роботи в опалювальний період проводить надавач послуг з теплопостачання, зокрема, технічне обслуговування та ремонт теплогенераторного обладнання. Проведено ремонт котла резервного теплопостачання. Ведуться роботи по капітальному ремонту котла основного теплопостачання, які планується завершити до 30.09.2023. В будівлях закладу охорони здоров’я проводиться технічне обслуговування та частковий ремонт системи теплопостачання, водопостачання та каналізації – внутрішньої та зовнішньої. Роботи виконано на 92 %. Проводиться повірка приладів обліку відповідно до термінів повірки.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Проводяться підготовчі роботи по введенню в експлуатацію резервного джерела електропостачання потужністю 100 кВт.  Оголошено відкриті торги на закупівлю послуги з технічного переоснащення зовнішнього електропостачання від резервного джерела живлення та монтажу електрогенератора (на етапі завершення).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Комунальне некомерційне підприємство Сквирської міської ради «Сквирський міський центр первинної медико-санітарної допомоги»</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міжопалювальний період була проведена підготовка АЗПСМ та ФП  підприємства до опалювального сезону.</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Проведено перевірку  опору та ізоляції електрообладнання та мережі амбулаторій ЗПСМ в м.Сквира та сіл: Кривошиїнці, Чубинці, Шамраївка, Пустоварівка, Горобіївка.</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Проведено перевірку  та заправку вогнегасників в кількості 43 од.</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Встановлені вузли обліку водопостачання АЗПСМ с.Чубинці та с.Самгородок з внесенням змін в рішення виконавчого комітету про затвердження лімітів використання енергоносіїв.</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Проводиться спільно зі старостами робота щодо забезпечення дровами ФАПів.</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Укладені договори на обслуговування пожежної сигналізації АЗПСМ   м.Сквира, АЗПСМ с.Шамраївка та АЗПСМ с.Пустоварівка.</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Проводяться ремонтні роботи щодо влаштування відмостки в АЗПСМ с.Чубинці.</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Потреби в повірці засобів обліку природного газу в поточному році немає.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облаштування альтернативних джерел електропостачання в АЗПСМ проведена закупівля паливно-мастильних матеріалів, електропроводів та розеток для підключення, облаштовані місця зберігання, оформлено відповідні накази, підготовлені інструкції початку експлуатації генераторів, проведено навчання з відповідальними особами по амбулаторіях.</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Комунальна установа Сквирської міської ради «Центр надання соціальних послуг»</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Перевірено технічний стан протипожежної сигналізації, первинних засобів пожежогасіння відділення стаціонарного догляду. Згідно нормативів укомплектовано два протипожежні щити, проведено перезарядку вогнегасників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tab/>
        <w:t xml:space="preserve">Перевірено стан готовності опалювальних котлів до роботи в відділенні стаціонарного догляду – два котли Титан – 105, замінено три тени. Є два генератор, потужності яких  вистачить лише  для освітлення та водопостачання.</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tab/>
        <w:t xml:space="preserve">Проводиться заготовка овочів та консервації для підопічних відділення стаціонарного догляду -  замовлено: картопля 3000 кг, цибуля – 400 кг, буряк столовий – 300 кг, капуста – 600 кг, морква – 400 кг.</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tab/>
        <w:t xml:space="preserve">На обліку в відділення соціально допомоги вдома перебуває 398 громадян, які не здатні до самообслуговування, 114 домогосподарств на твердому опаленні,  з них 9 частково забезпечено дровами, всі громадяни отримали допомога в оформленні субсидій та пільг.</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tab/>
        <w:t xml:space="preserve">Здійснена перевірка всіх сімей, які перебувають в складних життєвих обставинах, на готовність до опалювального сезону, наявність  сезонного одягу у дітей. На обліку перебуває 74 сім</w:t>
      </w: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ї, у всіх є мінімальна наявність дрів,  проводиться роз’яснювальна робота по експлуатації пічного опалення.</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tab/>
        <w:t xml:space="preserve">Фахівцями з соціальної роботи здійснюються заходи щодо недопущення заборгованості за енергоносії в сім’ях, які перебувають  в складних життєвих обставинах – проведено обстеження 74  сімей.</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tab/>
        <w:t xml:space="preserve">Адміністрацією центру та відділенням стаціонарного догляду здійснюється контроль щодо економного  використанням електроенергії.</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ff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ff0000"/>
          <w:sz w:val="28"/>
          <w:szCs w:val="28"/>
          <w:highlight w:val="white"/>
          <w:u w:val="none"/>
          <w:vertAlign w:val="baseline"/>
          <w:rtl w:val="0"/>
        </w:rPr>
        <w:t xml:space="preserve">Комунальне підприємство «Сквираблагоустрій» </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Комунальне підприємство «Сквираблагоустрій» обслуговує майно громади,  в тому числі вулично-дорожню  мережу комунальної власності та житловий фонд багатоквартиних будинків (співвласників), з якими заключені договори управління.</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належного утримання вулично-дорожньої мережі територіальної громади в тому числі в осінньо-зимовий період Сквирською міською радою  22.12.2020 №16-3-VІІІ затверджена Програма утримання та розвитку дорожнього господарства Сквирської міської територіальної громади на 2021-2025 роки, на фінансування якої в бюджеті Сквирської міської територіальної громади на 2023 рік передбачені кошти в сумі 5461,3 тис. грн.</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4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Станом на 11.09.2023 проведено поточний ремонту дорожнього покриття на 2657,4 тис. грн. із запланованих 4000,0 тис. грн , а саме:</w:t>
      </w:r>
    </w:p>
    <w:tbl>
      <w:tblPr>
        <w:tblStyle w:val="Table2"/>
        <w:tblW w:w="9725.0" w:type="dxa"/>
        <w:jc w:val="left"/>
        <w:tblLayout w:type="fixed"/>
        <w:tblLook w:val="0000"/>
      </w:tblPr>
      <w:tblGrid>
        <w:gridCol w:w="1658"/>
        <w:gridCol w:w="3587"/>
        <w:gridCol w:w="1476"/>
        <w:gridCol w:w="1501"/>
        <w:gridCol w:w="1503"/>
        <w:tblGridChange w:id="0">
          <w:tblGrid>
            <w:gridCol w:w="1658"/>
            <w:gridCol w:w="3587"/>
            <w:gridCol w:w="1476"/>
            <w:gridCol w:w="1501"/>
            <w:gridCol w:w="1503"/>
          </w:tblGrid>
        </w:tblGridChange>
      </w:tblGrid>
      <w:tr>
        <w:trPr>
          <w:cantSplit w:val="0"/>
          <w:trHeight w:val="99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Назва населеного пункту</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Назва вулиці</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Сума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Площа м2/</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Обсяги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Покриття</w:t>
            </w:r>
          </w:p>
        </w:tc>
      </w:tr>
      <w:tr>
        <w:trPr>
          <w:cantSplit w:val="0"/>
          <w:trHeight w:val="274"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Буки</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вул.Польова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198 579,60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1418/180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80"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Чубинці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вул.Шкільна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59 210,40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423/55</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13"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Чубинці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вул.Яблунева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62 977,18</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450/58,5</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62"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Дулицьке</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вул.Березина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72 752,40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520/74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96"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Красноліси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Миру</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82 830,00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592/76</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0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Токарівка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С.Альошина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198 883,20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1421/170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35"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Кам`яна Гребля</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вул.Новоселецька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199 756,80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1427/178</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84"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Золотуха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вул.Тараса Шевченка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199 945,20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1428/198</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7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Самгородок</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вул.Кооперативна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199 995,60</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1429/160</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8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вул.Карла Болсуновського</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143 209,20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129</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202"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провул.арла Болсуновського</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39 202,79</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105</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222"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пров.Миколи Гоголя</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80 952,04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49</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227"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вул.Максима Рильського</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172 148,54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159,9</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23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вул.Червона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77 971,68</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184</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 Георгія Якушкіна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133 907,08</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89,7</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Соборна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191614,85</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201,7</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 </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Липовецька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199711,19</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212,5</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Пустоварівська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152400,04</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160</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Віктора Кібенка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190250,51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200</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bl>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Сквирською міською радою 08.08.2023 за № 21/22 внесені зміни до рішення виконавчого комітету Сквирської міської ради «Про затвердження переліку вулиць для виконання поточного ремонту доріг загального користування Сквирської міської територіальної громади у 2023 році в новій редакції». В Переліку заплановано провести поточний ремонт по 43-х дорогах.</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Комунальним підприємством «Сквираблагоустрій» проводиться робота по визначенню обсягів поточного ремонту та складанню дефектних актів.</w:t>
        <w:tab/>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обслуговування вулично-дорожньої мережі в осінньо-зимовий період перебувають у власності та на обліку комунального підприємства автомобілі ЗІЛ 130 КДМ (піскорозкидачі з лопатам) в кількості 2-х одиниць, які профілактивно підготовлені та законсервовані. Додатково для обслуговування вулично-дорожньої мережі в осінньо-зимовий період залучаються трактори МТЗ-82, МТЗ-80 (навантажувач), ТО-30 (перемішування протиожеледної суміші), КАТА, які в даний час приймають пряму участь в організації благоустрою території громади.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Заготовлено 23 тони технічної солі та 200 тон відсіву, які розміщено на площадці по вул. Самгородецька в м. Сквира для подальшого приготування протиожеледної суміші власними силами. Залишок невикористаної готової протиожеледної суміші з попереднього року рахується в кількості 45 тон.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Станом на 11.09.2023 проведено комплексну підготовку житлового фонду багатоквартирних будинків в кількості 38 із 41, які перебувають в управлінні комунального підприємства «Сквирське комунальне господарство».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Підготовка проведена в межах переліку послуг, включених до тарифу з управління: поведено ремонт внутрішньобудинокової мережі водопостачання та водовідведення в 18 багатоквартирних будинках, поведено ремонт внутрішньобудинокової системи електропостачання в 22 багатоквартирних будинках.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b w:val="1"/>
          <w:sz w:val="28"/>
          <w:szCs w:val="28"/>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b w:val="1"/>
          <w:sz w:val="28"/>
          <w:szCs w:val="28"/>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Комунальне підприємство «Сквир-водоканал»</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Підготовка до осінньо-зимового періоду відбувається згідно затвердженого плану заходів. Проведено частковий ремонт стін та даху на свердловині в с.Шамраївка, частковий ремонт стін на свердловинах №3,5,7, підготовлено до роботи 5 КНС з 6, проведено профілактичні роботи на 18 свердловинах, на 50,0 % підготовлено ВНС-2 та КОС. Установлено генератори на КНС-2, КОС, ВНС-2.</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Але ще потрібно виконати: відремонтувати дах на КОС (підстанція та насосна), ВНС-2,  ТП-209 та на свердловинах №3,5, закупити 3 частотники для генераторів, утеплити свердловини по місту та селах, закупити засувки (їх планується встановити в кінці вересня-початку жовтня).</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Начальниця відділу капітального</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будівництва, комунальної власності та</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житлово-комунального господарства</w:t>
        <w:tab/>
        <w:tab/>
        <w:t xml:space="preserve">            Марина ТЕРНОВА</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 w:right="0" w:hanging="3"/>
        <w:jc w:val="both"/>
        <w:rPr>
          <w:sz w:val="28"/>
          <w:szCs w:val="28"/>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 w:right="0" w:hanging="3"/>
        <w:jc w:val="both"/>
        <w:rPr>
          <w:sz w:val="28"/>
          <w:szCs w:val="28"/>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 w:right="0" w:hanging="3"/>
        <w:jc w:val="both"/>
        <w:rPr>
          <w:sz w:val="28"/>
          <w:szCs w:val="28"/>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 w:right="0" w:hanging="3"/>
        <w:jc w:val="both"/>
        <w:rPr>
          <w:sz w:val="28"/>
          <w:szCs w:val="28"/>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 w:right="0" w:hanging="3"/>
        <w:jc w:val="both"/>
        <w:rPr>
          <w:sz w:val="28"/>
          <w:szCs w:val="28"/>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 w:right="0" w:hanging="3"/>
        <w:jc w:val="both"/>
        <w:rPr>
          <w:sz w:val="28"/>
          <w:szCs w:val="28"/>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547.9133858267733" w:top="708.6614173228347" w:left="1701" w:right="577.204724409448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Звичайний">
    <w:name w:val="Звичайний"/>
    <w:next w:val="Звичайни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Заголовок1">
    <w:name w:val="Заголовок 1"/>
    <w:basedOn w:val="Звичайний"/>
    <w:next w:val="Звичайний"/>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Cambria" w:hAnsi="Cambria"/>
      <w:b w:val="1"/>
      <w:bCs w:val="1"/>
      <w:w w:val="100"/>
      <w:kern w:val="32"/>
      <w:position w:val="-1"/>
      <w:sz w:val="32"/>
      <w:szCs w:val="32"/>
      <w:effect w:val="none"/>
      <w:vertAlign w:val="baseline"/>
      <w:cs w:val="0"/>
      <w:em w:val="none"/>
      <w:lang w:bidi="ar-SA" w:eastAsia="und" w:val="und"/>
    </w:rPr>
  </w:style>
  <w:style w:type="paragraph" w:styleId="Заголовок2">
    <w:name w:val="Заголовок 2"/>
    <w:basedOn w:val="Звичайний"/>
    <w:next w:val="Звичайний"/>
    <w:autoRedefine w:val="0"/>
    <w:hidden w:val="0"/>
    <w:qFormat w:val="1"/>
    <w:pPr>
      <w:keepNext w:val="1"/>
      <w:suppressAutoHyphens w:val="1"/>
      <w:spacing w:after="60" w:before="240" w:line="1" w:lineRule="atLeast"/>
      <w:ind w:leftChars="-1" w:rightChars="0" w:firstLineChars="-1"/>
      <w:textDirection w:val="btLr"/>
      <w:textAlignment w:val="top"/>
      <w:outlineLvl w:val="1"/>
    </w:pPr>
    <w:rPr>
      <w:rFonts w:ascii="Cambria" w:hAnsi="Cambria"/>
      <w:b w:val="1"/>
      <w:bCs w:val="1"/>
      <w:i w:val="1"/>
      <w:iCs w:val="1"/>
      <w:w w:val="100"/>
      <w:position w:val="-1"/>
      <w:sz w:val="28"/>
      <w:szCs w:val="28"/>
      <w:effect w:val="none"/>
      <w:vertAlign w:val="baseline"/>
      <w:cs w:val="0"/>
      <w:em w:val="none"/>
      <w:lang w:bidi="ar-SA" w:eastAsia="und" w:val="und"/>
    </w:rPr>
  </w:style>
  <w:style w:type="paragraph" w:styleId="Заголовок3">
    <w:name w:val="Заголовок 3"/>
    <w:basedOn w:val="Звичайний"/>
    <w:next w:val="Звичайний"/>
    <w:autoRedefine w:val="0"/>
    <w:hidden w:val="0"/>
    <w:qFormat w:val="0"/>
    <w:pPr>
      <w:keepNext w:val="1"/>
      <w:suppressAutoHyphens w:val="1"/>
      <w:spacing w:line="1" w:lineRule="atLeast"/>
      <w:ind w:leftChars="-1" w:rightChars="0" w:firstLineChars="-1"/>
      <w:jc w:val="center"/>
      <w:textDirection w:val="btLr"/>
      <w:textAlignment w:val="top"/>
      <w:outlineLvl w:val="2"/>
    </w:pPr>
    <w:rPr>
      <w:rFonts w:ascii="Cambria" w:hAnsi="Cambria"/>
      <w:b w:val="1"/>
      <w:bCs w:val="1"/>
      <w:w w:val="100"/>
      <w:position w:val="-1"/>
      <w:sz w:val="26"/>
      <w:szCs w:val="26"/>
      <w:effect w:val="none"/>
      <w:vertAlign w:val="baseline"/>
      <w:cs w:val="0"/>
      <w:em w:val="none"/>
      <w:lang w:bidi="ar-SA" w:eastAsia="und" w:val="und"/>
    </w:rPr>
  </w:style>
  <w:style w:type="paragraph" w:styleId="Заголовок4">
    <w:name w:val="Заголовок 4"/>
    <w:basedOn w:val="Звичайний"/>
    <w:next w:val="Звичайний"/>
    <w:autoRedefine w:val="0"/>
    <w:hidden w:val="0"/>
    <w:qFormat w:val="0"/>
    <w:pPr>
      <w:keepNext w:val="1"/>
      <w:suppressAutoHyphens w:val="1"/>
      <w:spacing w:line="1" w:lineRule="atLeast"/>
      <w:ind w:leftChars="-1" w:rightChars="0" w:firstLineChars="-1"/>
      <w:jc w:val="center"/>
      <w:textDirection w:val="btLr"/>
      <w:textAlignment w:val="top"/>
      <w:outlineLvl w:val="3"/>
    </w:pPr>
    <w:rPr>
      <w:rFonts w:ascii="Calibri" w:hAnsi="Calibri"/>
      <w:b w:val="1"/>
      <w:bCs w:val="1"/>
      <w:w w:val="100"/>
      <w:position w:val="-1"/>
      <w:sz w:val="28"/>
      <w:szCs w:val="28"/>
      <w:effect w:val="none"/>
      <w:vertAlign w:val="baseline"/>
      <w:cs w:val="0"/>
      <w:em w:val="none"/>
      <w:lang w:bidi="ar-SA" w:eastAsia="und" w:val="und"/>
    </w:rPr>
  </w:style>
  <w:style w:type="character" w:styleId="Шрифтабзацузазамовчуванням">
    <w:name w:val="Шрифт абзацу за замовчуванням"/>
    <w:next w:val="Шрифтабзацузазамовчуванням"/>
    <w:autoRedefine w:val="0"/>
    <w:hidden w:val="0"/>
    <w:qFormat w:val="1"/>
    <w:rPr>
      <w:w w:val="100"/>
      <w:position w:val="-1"/>
      <w:effect w:val="none"/>
      <w:vertAlign w:val="baseline"/>
      <w:cs w:val="0"/>
      <w:em w:val="none"/>
      <w:lang/>
    </w:rPr>
  </w:style>
  <w:style w:type="table" w:styleId="Звичайнатаблиця">
    <w:name w:val="Звичайна таблиця"/>
    <w:next w:val="Звичайнатаблиця"/>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маєсписку">
    <w:name w:val="Немає списку"/>
    <w:next w:val="Немаєсписку"/>
    <w:autoRedefine w:val="0"/>
    <w:hidden w:val="0"/>
    <w:qFormat w:val="1"/>
    <w:pPr>
      <w:suppressAutoHyphens w:val="1"/>
      <w:spacing w:line="1" w:lineRule="atLeast"/>
      <w:ind w:leftChars="-1" w:rightChars="0" w:firstLineChars="-1"/>
      <w:textDirection w:val="btLr"/>
      <w:textAlignment w:val="top"/>
      <w:outlineLvl w:val="0"/>
    </w:pPr>
  </w:style>
  <w:style w:type="character" w:styleId="Заголовок1Знак">
    <w:name w:val="Заголовок 1 Знак"/>
    <w:next w:val="Заголовок1Знак"/>
    <w:autoRedefine w:val="0"/>
    <w:hidden w:val="0"/>
    <w:qFormat w:val="0"/>
    <w:rPr>
      <w:rFonts w:ascii="Cambria" w:cs="Times New Roman" w:hAnsi="Cambria"/>
      <w:b w:val="1"/>
      <w:bCs w:val="1"/>
      <w:w w:val="100"/>
      <w:kern w:val="32"/>
      <w:position w:val="-1"/>
      <w:sz w:val="32"/>
      <w:szCs w:val="32"/>
      <w:effect w:val="none"/>
      <w:vertAlign w:val="baseline"/>
      <w:cs w:val="0"/>
      <w:em w:val="none"/>
      <w:lang/>
    </w:rPr>
  </w:style>
  <w:style w:type="character" w:styleId="Заголовок3Знак">
    <w:name w:val="Заголовок 3 Знак"/>
    <w:next w:val="Заголовок3Знак"/>
    <w:autoRedefine w:val="0"/>
    <w:hidden w:val="0"/>
    <w:qFormat w:val="0"/>
    <w:rPr>
      <w:rFonts w:ascii="Cambria" w:cs="Times New Roman" w:hAnsi="Cambria"/>
      <w:b w:val="1"/>
      <w:bCs w:val="1"/>
      <w:w w:val="100"/>
      <w:position w:val="-1"/>
      <w:sz w:val="26"/>
      <w:szCs w:val="26"/>
      <w:effect w:val="none"/>
      <w:vertAlign w:val="baseline"/>
      <w:cs w:val="0"/>
      <w:em w:val="none"/>
      <w:lang/>
    </w:rPr>
  </w:style>
  <w:style w:type="character" w:styleId="Заголовок4Знак">
    <w:name w:val="Заголовок 4 Знак"/>
    <w:next w:val="Заголовок4Знак"/>
    <w:autoRedefine w:val="0"/>
    <w:hidden w:val="0"/>
    <w:qFormat w:val="0"/>
    <w:rPr>
      <w:rFonts w:ascii="Calibri" w:cs="Times New Roman" w:hAnsi="Calibri"/>
      <w:b w:val="1"/>
      <w:bCs w:val="1"/>
      <w:w w:val="100"/>
      <w:position w:val="-1"/>
      <w:sz w:val="28"/>
      <w:szCs w:val="28"/>
      <w:effect w:val="none"/>
      <w:vertAlign w:val="baseline"/>
      <w:cs w:val="0"/>
      <w:em w:val="none"/>
      <w:lang/>
    </w:rPr>
  </w:style>
  <w:style w:type="paragraph" w:styleId="Абзацсписку">
    <w:name w:val="Абзац списку"/>
    <w:basedOn w:val="Звичайний"/>
    <w:next w:val="Абзацсписку"/>
    <w:autoRedefine w:val="0"/>
    <w:hidden w:val="0"/>
    <w:qFormat w:val="0"/>
    <w:pPr>
      <w:suppressAutoHyphens w:val="1"/>
      <w:spacing w:line="1" w:lineRule="atLeast"/>
      <w:ind w:left="720" w:leftChars="-1" w:rightChars="0" w:firstLineChars="-1"/>
      <w:contextualSpacing w:val="1"/>
      <w:textDirection w:val="btLr"/>
      <w:textAlignment w:val="top"/>
      <w:outlineLvl w:val="0"/>
    </w:pPr>
    <w:rPr>
      <w:w w:val="100"/>
      <w:position w:val="-1"/>
      <w:sz w:val="24"/>
      <w:szCs w:val="24"/>
      <w:effect w:val="none"/>
      <w:vertAlign w:val="baseline"/>
      <w:cs w:val="0"/>
      <w:em w:val="none"/>
      <w:lang w:bidi="ar-SA" w:eastAsia="ru-RU" w:val="ru-RU"/>
    </w:rPr>
  </w:style>
  <w:style w:type="paragraph" w:styleId="Верхнійколонтитул">
    <w:name w:val="Верхній колонтитул"/>
    <w:basedOn w:val="Звичайний"/>
    <w:next w:val="Верхнійколонтитул"/>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ВерхнійколонтитулЗнак">
    <w:name w:val="Верхній колонтитул Знак"/>
    <w:next w:val="ВерхнійколонтитулЗнак"/>
    <w:autoRedefine w:val="0"/>
    <w:hidden w:val="0"/>
    <w:qFormat w:val="0"/>
    <w:rPr>
      <w:w w:val="100"/>
      <w:position w:val="-1"/>
      <w:sz w:val="24"/>
      <w:szCs w:val="24"/>
      <w:effect w:val="none"/>
      <w:vertAlign w:val="baseline"/>
      <w:cs w:val="0"/>
      <w:em w:val="none"/>
      <w:lang/>
    </w:rPr>
  </w:style>
  <w:style w:type="paragraph" w:styleId="Нижнійколонтитул">
    <w:name w:val="Нижній колонтитул"/>
    <w:basedOn w:val="Звичайний"/>
    <w:next w:val="Нижнійколонтитул"/>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НижнійколонтитулЗнак">
    <w:name w:val="Нижній колонтитул Знак"/>
    <w:next w:val="НижнійколонтитулЗнак"/>
    <w:autoRedefine w:val="0"/>
    <w:hidden w:val="0"/>
    <w:qFormat w:val="0"/>
    <w:rPr>
      <w:w w:val="100"/>
      <w:position w:val="-1"/>
      <w:sz w:val="24"/>
      <w:szCs w:val="24"/>
      <w:effect w:val="none"/>
      <w:vertAlign w:val="baseline"/>
      <w:cs w:val="0"/>
      <w:em w:val="none"/>
      <w:lang/>
    </w:rPr>
  </w:style>
  <w:style w:type="paragraph" w:styleId="Текстувиносці">
    <w:name w:val="Текст у виносці"/>
    <w:basedOn w:val="Звичайний"/>
    <w:next w:val="Текстувиносці"/>
    <w:autoRedefine w:val="0"/>
    <w:hidden w:val="0"/>
    <w:qFormat w:val="0"/>
    <w:pPr>
      <w:suppressAutoHyphens w:val="1"/>
      <w:spacing w:line="1" w:lineRule="atLeast"/>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nd" w:val="und"/>
    </w:rPr>
  </w:style>
  <w:style w:type="character" w:styleId="ТекстувиносціЗнак">
    <w:name w:val="Текст у виносці Знак"/>
    <w:next w:val="ТекстувиносціЗнак"/>
    <w:autoRedefine w:val="0"/>
    <w:hidden w:val="0"/>
    <w:qFormat w:val="0"/>
    <w:rPr>
      <w:rFonts w:ascii="Tahoma" w:cs="Tahoma" w:hAnsi="Tahoma"/>
      <w:w w:val="100"/>
      <w:position w:val="-1"/>
      <w:sz w:val="16"/>
      <w:szCs w:val="16"/>
      <w:effect w:val="none"/>
      <w:vertAlign w:val="baseline"/>
      <w:cs w:val="0"/>
      <w:em w:val="none"/>
      <w:lang/>
    </w:rPr>
  </w:style>
  <w:style w:type="paragraph" w:styleId="Основнийтекст">
    <w:name w:val="Основний текст"/>
    <w:basedOn w:val="Звичайний"/>
    <w:next w:val="Основнийтекст"/>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k-UA"/>
    </w:rPr>
  </w:style>
  <w:style w:type="character" w:styleId="ОсновнийтекстЗнак">
    <w:name w:val="Основний текст Знак"/>
    <w:next w:val="ОсновнийтекстЗнак"/>
    <w:autoRedefine w:val="0"/>
    <w:hidden w:val="0"/>
    <w:qFormat w:val="0"/>
    <w:rPr>
      <w:w w:val="100"/>
      <w:position w:val="-1"/>
      <w:sz w:val="24"/>
      <w:szCs w:val="24"/>
      <w:effect w:val="none"/>
      <w:vertAlign w:val="baseline"/>
      <w:cs w:val="0"/>
      <w:em w:val="none"/>
      <w:lang w:val="uk-UA"/>
    </w:rPr>
  </w:style>
  <w:style w:type="paragraph" w:styleId="Основнийтекстзвідступом2">
    <w:name w:val="Основний текст з відступом 2"/>
    <w:basedOn w:val="Звичайний"/>
    <w:next w:val="Основнийтекстзвідступом2"/>
    <w:autoRedefine w:val="0"/>
    <w:hidden w:val="0"/>
    <w:qFormat w:val="0"/>
    <w:pPr>
      <w:suppressAutoHyphens w:val="1"/>
      <w:spacing w:after="120" w:line="480" w:lineRule="auto"/>
      <w:ind w:left="283"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Основнийтекстзвідступом2Знак">
    <w:name w:val="Основний текст з відступом 2 Знак"/>
    <w:next w:val="Основнийтекстзвідступом2Знак"/>
    <w:autoRedefine w:val="0"/>
    <w:hidden w:val="0"/>
    <w:qFormat w:val="0"/>
    <w:rPr>
      <w:w w:val="100"/>
      <w:position w:val="-1"/>
      <w:sz w:val="24"/>
      <w:szCs w:val="24"/>
      <w:effect w:val="none"/>
      <w:vertAlign w:val="baseline"/>
      <w:cs w:val="0"/>
      <w:em w:val="none"/>
      <w:lang/>
    </w:rPr>
  </w:style>
  <w:style w:type="character" w:styleId="apple-converted-space">
    <w:name w:val="apple-converted-space"/>
    <w:next w:val="apple-converted-space"/>
    <w:autoRedefine w:val="0"/>
    <w:hidden w:val="0"/>
    <w:qFormat w:val="0"/>
    <w:rPr>
      <w:w w:val="100"/>
      <w:position w:val="-1"/>
      <w:effect w:val="none"/>
      <w:vertAlign w:val="baseline"/>
      <w:cs w:val="0"/>
      <w:em w:val="none"/>
      <w:lang/>
    </w:rPr>
  </w:style>
  <w:style w:type="paragraph" w:styleId="Звичайний(веб)">
    <w:name w:val="Звичайний (веб)"/>
    <w:basedOn w:val="Звичайний"/>
    <w:next w:val="Звичайний(веб)"/>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Безінтервалів">
    <w:name w:val="Без інтервалів"/>
    <w:next w:val="Безінтервалів"/>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FontStyle15">
    <w:name w:val="Font Style15"/>
    <w:next w:val="FontStyle15"/>
    <w:autoRedefine w:val="0"/>
    <w:hidden w:val="0"/>
    <w:qFormat w:val="0"/>
    <w:rPr>
      <w:rFonts w:ascii="Times New Roman" w:cs="Times New Roman" w:hAnsi="Times New Roman" w:hint="default"/>
      <w:w w:val="100"/>
      <w:position w:val="-1"/>
      <w:sz w:val="26"/>
      <w:effect w:val="none"/>
      <w:vertAlign w:val="baseline"/>
      <w:cs w:val="0"/>
      <w:em w:val="none"/>
      <w:lang/>
    </w:rPr>
  </w:style>
  <w:style w:type="character" w:styleId="Заголовок2Знак">
    <w:name w:val="Заголовок 2 Знак"/>
    <w:next w:val="Заголовок2Знак"/>
    <w:autoRedefine w:val="0"/>
    <w:hidden w:val="0"/>
    <w:qFormat w:val="0"/>
    <w:rPr>
      <w:rFonts w:ascii="Cambria" w:cs="Times New Roman" w:eastAsia="Times New Roman" w:hAnsi="Cambria"/>
      <w:b w:val="1"/>
      <w:bCs w:val="1"/>
      <w:i w:val="1"/>
      <w:iCs w:val="1"/>
      <w:w w:val="100"/>
      <w:position w:val="-1"/>
      <w:sz w:val="28"/>
      <w:szCs w:val="28"/>
      <w:effect w:val="none"/>
      <w:vertAlign w:val="baseline"/>
      <w:cs w:val="0"/>
      <w:em w:val="none"/>
      <w:lang/>
    </w:rPr>
  </w:style>
  <w:style w:type="paragraph" w:styleId="заголовок2">
    <w:name w:val="заголовок 2"/>
    <w:basedOn w:val="Звичайний"/>
    <w:next w:val="Звичайний"/>
    <w:autoRedefine w:val="0"/>
    <w:hidden w:val="0"/>
    <w:qFormat w:val="0"/>
    <w:pPr>
      <w:keepNext w:val="1"/>
      <w:pBdr>
        <w:bottom w:color="auto" w:space="1" w:sz="12" w:val="single"/>
      </w:pBdr>
      <w:suppressAutoHyphens w:val="1"/>
      <w:spacing w:line="1" w:lineRule="atLeast"/>
      <w:ind w:leftChars="-1" w:rightChars="0" w:firstLineChars="-1"/>
      <w:jc w:val="center"/>
      <w:textDirection w:val="btLr"/>
      <w:textAlignment w:val="top"/>
      <w:outlineLvl w:val="1"/>
    </w:pPr>
    <w:rPr>
      <w:rFonts w:ascii="Times NR Cyr MT" w:hAnsi="Times NR Cyr MT"/>
      <w:b w:val="1"/>
      <w:w w:val="100"/>
      <w:position w:val="-1"/>
      <w:sz w:val="24"/>
      <w:szCs w:val="20"/>
      <w:effect w:val="none"/>
      <w:vertAlign w:val="baseline"/>
      <w:cs w:val="0"/>
      <w:em w:val="none"/>
      <w:lang w:bidi="ar-SA" w:eastAsia="ru-RU" w:val="uk-UA"/>
    </w:rPr>
  </w:style>
  <w:style w:type="table" w:styleId="Сіткатаблиці">
    <w:name w:val="Сітка таблиці"/>
    <w:basedOn w:val="Звичайнатаблиця"/>
    <w:next w:val="Сіткатаблиці"/>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Сіткатаблиці"/>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rvps2">
    <w:name w:val="rvps2"/>
    <w:basedOn w:val="Звичайний"/>
    <w:next w:val="rvps2"/>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character" w:styleId="rvts9">
    <w:name w:val="rvts9"/>
    <w:basedOn w:val="Шрифтабзацузазамовчуванням"/>
    <w:next w:val="rvts9"/>
    <w:autoRedefine w:val="0"/>
    <w:hidden w:val="0"/>
    <w:qFormat w:val="0"/>
    <w:rPr>
      <w:w w:val="100"/>
      <w:position w:val="-1"/>
      <w:effect w:val="none"/>
      <w:vertAlign w:val="baseline"/>
      <w:cs w:val="0"/>
      <w:em w:val="none"/>
      <w:lang/>
    </w:rPr>
  </w:style>
  <w:style w:type="paragraph" w:styleId="rvps31">
    <w:name w:val="rvps31"/>
    <w:basedOn w:val="Звичайний"/>
    <w:next w:val="rvps31"/>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character" w:styleId="rvts7">
    <w:name w:val="rvts7"/>
    <w:basedOn w:val="Шрифтабзацузазамовчуванням"/>
    <w:next w:val="rvts7"/>
    <w:autoRedefine w:val="0"/>
    <w:hidden w:val="0"/>
    <w:qFormat w:val="0"/>
    <w:rPr>
      <w:w w:val="100"/>
      <w:position w:val="-1"/>
      <w:effect w:val="none"/>
      <w:vertAlign w:val="baseline"/>
      <w:cs w:val="0"/>
      <w:em w:val="none"/>
      <w:lang/>
    </w:rPr>
  </w:style>
  <w:style w:type="paragraph" w:styleId="rvps148">
    <w:name w:val="rvps148"/>
    <w:basedOn w:val="Звичайний"/>
    <w:next w:val="rvps148"/>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character" w:styleId="rvts10">
    <w:name w:val="rvts10"/>
    <w:next w:val="rvts10"/>
    <w:autoRedefine w:val="0"/>
    <w:hidden w:val="0"/>
    <w:qFormat w:val="0"/>
    <w:rPr>
      <w:w w:val="100"/>
      <w:position w:val="-1"/>
      <w:effect w:val="none"/>
      <w:vertAlign w:val="baseline"/>
      <w:cs w:val="0"/>
      <w:em w:val="none"/>
      <w:lang/>
    </w:rPr>
  </w:style>
  <w:style w:type="paragraph" w:styleId="rvps7">
    <w:name w:val="rvps7"/>
    <w:basedOn w:val="Звичайний"/>
    <w:next w:val="rvps7"/>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paragraph" w:styleId="rvps149">
    <w:name w:val="rvps149"/>
    <w:basedOn w:val="Звичайний"/>
    <w:next w:val="rvps149"/>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paragraph" w:styleId="rvps150">
    <w:name w:val="rvps150"/>
    <w:basedOn w:val="Звичайний"/>
    <w:next w:val="rvps150"/>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character" w:styleId="rvts12">
    <w:name w:val="rvts12"/>
    <w:next w:val="rvts12"/>
    <w:autoRedefine w:val="0"/>
    <w:hidden w:val="0"/>
    <w:qFormat w:val="0"/>
    <w:rPr>
      <w:w w:val="100"/>
      <w:position w:val="-1"/>
      <w:effect w:val="none"/>
      <w:vertAlign w:val="baseline"/>
      <w:cs w:val="0"/>
      <w:em w:val="none"/>
      <w:lang/>
    </w:rPr>
  </w:style>
  <w:style w:type="paragraph" w:styleId="rvps151">
    <w:name w:val="rvps151"/>
    <w:basedOn w:val="Звичайний"/>
    <w:next w:val="rvps151"/>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paragraph" w:styleId="rvps152">
    <w:name w:val="rvps152"/>
    <w:basedOn w:val="Звичайний"/>
    <w:next w:val="rvps152"/>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paragraph" w:styleId="rvps153">
    <w:name w:val="rvps153"/>
    <w:basedOn w:val="Звичайний"/>
    <w:next w:val="rvps153"/>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paragraph" w:styleId="rvps206">
    <w:name w:val="rvps206"/>
    <w:basedOn w:val="Звичайний"/>
    <w:next w:val="rvps206"/>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character" w:styleId="БезінтервалівЗнак">
    <w:name w:val="Без інтервалів Знак"/>
    <w:next w:val="БезінтервалівЗнак"/>
    <w:autoRedefine w:val="0"/>
    <w:hidden w:val="0"/>
    <w:qFormat w:val="0"/>
    <w:rPr>
      <w:w w:val="100"/>
      <w:position w:val="-1"/>
      <w:sz w:val="24"/>
      <w:szCs w:val="24"/>
      <w:effect w:val="none"/>
      <w:vertAlign w:val="baseline"/>
      <w:cs w:val="0"/>
      <w:em w:val="none"/>
      <w:lang w:eastAsia="ru-RU" w:val="ru-RU"/>
    </w:rPr>
  </w:style>
  <w:style w:type="paragraph" w:styleId="Безінтервалів1">
    <w:name w:val="Без інтервалів1"/>
    <w:next w:val="Безінтервалів1"/>
    <w:autoRedefine w:val="0"/>
    <w:hidden w:val="0"/>
    <w:qFormat w:val="0"/>
    <w:pPr>
      <w:suppressAutoHyphens w:val="0"/>
      <w:spacing w:line="1" w:lineRule="atLeast"/>
      <w:ind w:leftChars="-1" w:rightChars="0" w:firstLineChars="-1"/>
      <w:textDirection w:val="btLr"/>
      <w:textAlignment w:val="top"/>
      <w:outlineLvl w:val="0"/>
    </w:pPr>
    <w:rPr>
      <w:rFonts w:ascii="Calibri" w:cs="Calibri" w:eastAsia="Calibri" w:hAnsi="Calibri"/>
      <w:w w:val="100"/>
      <w:position w:val="-1"/>
      <w:sz w:val="22"/>
      <w:szCs w:val="22"/>
      <w:effect w:val="none"/>
      <w:vertAlign w:val="baseline"/>
      <w:cs w:val="0"/>
      <w:em w:val="none"/>
      <w:lang w:bidi="ar-SA" w:eastAsia="zh-CN" w:val="uk-UA"/>
    </w:rPr>
  </w:style>
  <w:style w:type="character" w:styleId="FontStyle13">
    <w:name w:val="Font Style13"/>
    <w:next w:val="FontStyle13"/>
    <w:autoRedefine w:val="0"/>
    <w:hidden w:val="0"/>
    <w:qFormat w:val="0"/>
    <w:rPr>
      <w:rFonts w:ascii="Times New Roman" w:cs="Times New Roman" w:hAnsi="Times New Roman" w:hint="default"/>
      <w:w w:val="100"/>
      <w:position w:val="-1"/>
      <w:sz w:val="28"/>
      <w:szCs w:val="28"/>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AqwO5Ma6HsxG7VTTBMVp9WLEpQ==">CgMxLjA4AHIhMWtBNzliZUxFbEpZemxWcm1nS3puNk0tMzRaUmlFXzc3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2021-02-03T13:10:00Z</dcterms:created>
  <dc:creator>Идеал</dc:creator>
</cp:coreProperties>
</file>